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7C8A" w14:textId="2E5A9C10" w:rsidR="008112F1" w:rsidRPr="004123C0" w:rsidRDefault="00F253EE" w:rsidP="008112F1">
      <w:r>
        <w:t xml:space="preserve">Ich wurde gebeten, </w:t>
      </w:r>
      <w:r w:rsidR="000E67EA">
        <w:t xml:space="preserve">aus </w:t>
      </w:r>
      <w:r w:rsidRPr="000E67EA">
        <w:rPr>
          <w:b/>
          <w:bCs/>
        </w:rPr>
        <w:t>bundespolitische</w:t>
      </w:r>
      <w:r w:rsidR="000E67EA">
        <w:rPr>
          <w:b/>
          <w:bCs/>
        </w:rPr>
        <w:t>r</w:t>
      </w:r>
      <w:r w:rsidRPr="000E67EA">
        <w:rPr>
          <w:b/>
          <w:bCs/>
        </w:rPr>
        <w:t xml:space="preserve"> Perspektive</w:t>
      </w:r>
      <w:r>
        <w:t xml:space="preserve"> </w:t>
      </w:r>
      <w:r w:rsidR="002665E0">
        <w:t>über das Thema Um</w:t>
      </w:r>
      <w:r w:rsidR="000F55CC">
        <w:t xml:space="preserve">wandlung und Eigenbedarf </w:t>
      </w:r>
      <w:r>
        <w:t xml:space="preserve">zu sprechen. Das ist naheliegend, weil </w:t>
      </w:r>
      <w:r w:rsidR="008112F1">
        <w:t xml:space="preserve">der Bund </w:t>
      </w:r>
      <w:r w:rsidR="003A7D9A">
        <w:t xml:space="preserve">bei beiden Themen entscheidende Gesetze bereitstellt. Selbst da, wo Länder und Kommune entscheiden, </w:t>
      </w:r>
      <w:r w:rsidR="00E0330F">
        <w:t>schafft der den gesetzlichen Rahmen</w:t>
      </w:r>
      <w:r w:rsidR="008112F1">
        <w:t>. Wer große Veränderung will, muss den Bundestag überzeugen.</w:t>
      </w:r>
      <w:r w:rsidR="00E0330F">
        <w:t xml:space="preserve"> </w:t>
      </w:r>
      <w:r w:rsidR="008112F1">
        <w:t xml:space="preserve">Das Bündnis hat </w:t>
      </w:r>
      <w:r w:rsidR="008112F1" w:rsidRPr="000E67EA">
        <w:rPr>
          <w:b/>
          <w:bCs/>
        </w:rPr>
        <w:t xml:space="preserve">vier </w:t>
      </w:r>
      <w:r w:rsidR="008112F1">
        <w:rPr>
          <w:b/>
          <w:bCs/>
        </w:rPr>
        <w:t xml:space="preserve">Kernthemen </w:t>
      </w:r>
      <w:r w:rsidR="008112F1" w:rsidRPr="004123C0">
        <w:t>identifiziert:</w:t>
      </w:r>
      <w:r w:rsidR="008112F1">
        <w:t xml:space="preserve"> Wohnungsumwandlungen, Gemeinwohlankäufe, Eigenbedarfskündigungen und Transparenz am Wohnungsmarkt.</w:t>
      </w:r>
    </w:p>
    <w:p w14:paraId="0D8185B1" w14:textId="1F7B3A30" w:rsidR="008112F1" w:rsidRDefault="008112F1" w:rsidP="008112F1">
      <w:pPr>
        <w:jc w:val="center"/>
      </w:pPr>
      <w:r>
        <w:t>I.</w:t>
      </w:r>
    </w:p>
    <w:p w14:paraId="524CBCAC" w14:textId="0103383D" w:rsidR="004123C0" w:rsidRDefault="004123C0" w:rsidP="00F023A7">
      <w:r>
        <w:t>Ich zeige im Folgenden, wie die Probleme sich auf die Bundesebene beziehen, was der aktuelle Stand ist und welche Forderung das Bündnis ableitet.</w:t>
      </w:r>
    </w:p>
    <w:p w14:paraId="2276020E" w14:textId="520DE464" w:rsidR="004123C0" w:rsidRDefault="004123C0" w:rsidP="00F023A7">
      <w:r>
        <w:t>1.</w:t>
      </w:r>
    </w:p>
    <w:p w14:paraId="7AB88257" w14:textId="43685E3A" w:rsidR="00F023A7" w:rsidRDefault="00F023A7" w:rsidP="00F023A7">
      <w:r w:rsidRPr="00F023A7">
        <w:rPr>
          <w:b/>
          <w:bCs/>
        </w:rPr>
        <w:t>Wohnungsumwandlungen</w:t>
      </w:r>
      <w:r>
        <w:t xml:space="preserve"> können im Baugesetzbuch</w:t>
      </w:r>
      <w:r w:rsidR="00E0330F">
        <w:t xml:space="preserve"> (BauGB)</w:t>
      </w:r>
      <w:r>
        <w:t xml:space="preserve"> eingeschränkt werden. Die existierenden Regelungen gelten nicht automatisch, die Bundesländer müssen sie erst </w:t>
      </w:r>
      <w:r w:rsidR="005D5F39">
        <w:t xml:space="preserve">über eigene Rechtsverordnungen </w:t>
      </w:r>
      <w:r>
        <w:t>scharf stellen</w:t>
      </w:r>
      <w:r w:rsidR="005D5F39">
        <w:t xml:space="preserve"> und „angespannte Wohnungsmärkte“ bestimmen</w:t>
      </w:r>
      <w:r>
        <w:t xml:space="preserve">. Berlin macht das </w:t>
      </w:r>
      <w:r w:rsidR="005D5F39">
        <w:t xml:space="preserve">bisher </w:t>
      </w:r>
      <w:r>
        <w:t xml:space="preserve">schnell und verlässlich. </w:t>
      </w:r>
    </w:p>
    <w:p w14:paraId="69D03F5D" w14:textId="0FA42AA8" w:rsidR="00F023A7" w:rsidRDefault="00F023A7" w:rsidP="00F023A7">
      <w:r>
        <w:t>Bis 2021 gab es eine „kleine“ Einschränkung nur in Milieuschutzgebieten</w:t>
      </w:r>
      <w:r w:rsidR="00C122B5">
        <w:t xml:space="preserve"> (§ 172 BauGB)</w:t>
      </w:r>
      <w:r>
        <w:t xml:space="preserve">, die eigentlich nur eine Verzögerung war. Das Bezirksamt musste </w:t>
      </w:r>
      <w:r w:rsidR="00C122B5">
        <w:t>Umwandlungen</w:t>
      </w:r>
      <w:r>
        <w:t xml:space="preserve"> genehmigen, wenn sich </w:t>
      </w:r>
      <w:r w:rsidR="00A6703C">
        <w:t>die</w:t>
      </w:r>
      <w:r>
        <w:t xml:space="preserve"> Eigentümer</w:t>
      </w:r>
      <w:r w:rsidR="00A6703C">
        <w:t>*in</w:t>
      </w:r>
      <w:r>
        <w:t xml:space="preserve"> auf eine 7-Jahre Wartefrist für den Verkauf einließ. </w:t>
      </w:r>
    </w:p>
    <w:p w14:paraId="1AED5713" w14:textId="4990A18C" w:rsidR="00F023A7" w:rsidRDefault="00F023A7" w:rsidP="00F023A7">
      <w:pPr>
        <w:rPr>
          <w:i/>
          <w:iCs/>
        </w:rPr>
      </w:pPr>
      <w:r>
        <w:t>Seit Ende 2021 gibt es zusätzlich eine viel strengere Regel, die in ganz Berlin gilt, aber befristet ist</w:t>
      </w:r>
      <w:r w:rsidR="00C122B5">
        <w:t xml:space="preserve"> (§ 250 BauGB)</w:t>
      </w:r>
      <w:r>
        <w:t xml:space="preserve">. Sie wurde 2025 durch die neue Regierungskoalition um fünf Jahre verlängert. </w:t>
      </w:r>
      <w:r w:rsidRPr="004123C0">
        <w:rPr>
          <w:i/>
          <w:iCs/>
        </w:rPr>
        <w:t xml:space="preserve">Die Regel ist </w:t>
      </w:r>
      <w:r w:rsidR="007F152E">
        <w:rPr>
          <w:i/>
          <w:iCs/>
        </w:rPr>
        <w:t>ein Lichtblick</w:t>
      </w:r>
      <w:r w:rsidRPr="004123C0">
        <w:rPr>
          <w:i/>
          <w:iCs/>
        </w:rPr>
        <w:t xml:space="preserve">, </w:t>
      </w:r>
      <w:r w:rsidR="007F152E">
        <w:rPr>
          <w:i/>
          <w:iCs/>
        </w:rPr>
        <w:t xml:space="preserve">aber sie </w:t>
      </w:r>
      <w:r w:rsidRPr="004123C0">
        <w:rPr>
          <w:i/>
          <w:iCs/>
        </w:rPr>
        <w:t xml:space="preserve">müsste entfristet werden. </w:t>
      </w:r>
    </w:p>
    <w:p w14:paraId="704F8C85" w14:textId="1B61EDAD" w:rsidR="007F152E" w:rsidRPr="007F152E" w:rsidRDefault="00C16D9A" w:rsidP="00F95C19">
      <w:r>
        <w:t>Bundespolitisch ist aber gerade nicht</w:t>
      </w:r>
      <w:r w:rsidR="007F152E">
        <w:t xml:space="preserve"> erwartbar, dass jemand diese Regel so schnell noch mal</w:t>
      </w:r>
      <w:r>
        <w:t xml:space="preserve"> </w:t>
      </w:r>
      <w:r w:rsidR="00F95C19">
        <w:t>verändert, nachdem gerade die Aktualisierung passiert ist. Richtig akut wird das Thema erst wieder, wenn die neue 5-Jahres-Frist abläuft.</w:t>
      </w:r>
    </w:p>
    <w:p w14:paraId="7871ED01" w14:textId="5FB2152F" w:rsidR="007F152E" w:rsidRPr="007F152E" w:rsidRDefault="007F152E" w:rsidP="00F023A7">
      <w:r w:rsidRPr="007F152E">
        <w:t>2.</w:t>
      </w:r>
    </w:p>
    <w:p w14:paraId="4271D4D5" w14:textId="282ACFF9" w:rsidR="00F023A7" w:rsidRDefault="00F023A7" w:rsidP="00F023A7">
      <w:r w:rsidRPr="00F023A7">
        <w:rPr>
          <w:b/>
          <w:bCs/>
        </w:rPr>
        <w:t>Gemeinwohl-Ankäufe</w:t>
      </w:r>
      <w:r>
        <w:t xml:space="preserve"> kann ein Land oder eine Gemeinde jederzeit freiwillig machen, wenn d</w:t>
      </w:r>
      <w:r w:rsidR="00F95C19">
        <w:t>ie</w:t>
      </w:r>
      <w:r>
        <w:t xml:space="preserve"> Verkäufer</w:t>
      </w:r>
      <w:r w:rsidR="00F95C19">
        <w:t>*in</w:t>
      </w:r>
      <w:r>
        <w:t xml:space="preserve"> das will. Der Bund kann die Länder dabei finanziell unterstützen</w:t>
      </w:r>
      <w:r w:rsidR="004123C0">
        <w:t xml:space="preserve">, etwa indem er die Mittel des sozialen Wohnungsbaus erhöht. </w:t>
      </w:r>
    </w:p>
    <w:p w14:paraId="2CE07B7F" w14:textId="3E09AF4D" w:rsidR="004123C0" w:rsidRDefault="004123C0" w:rsidP="00F023A7">
      <w:r>
        <w:t xml:space="preserve">Die Lander haben bei der Entwicklung von </w:t>
      </w:r>
      <w:r w:rsidRPr="007F152E">
        <w:rPr>
          <w:b/>
          <w:bCs/>
        </w:rPr>
        <w:t>Förderprogrammen</w:t>
      </w:r>
      <w:r>
        <w:t xml:space="preserve"> große Spielräume – so hat Berlin eine spezielle Ankaufförderung für Genossenschaften. </w:t>
      </w:r>
      <w:r w:rsidRPr="004123C0">
        <w:rPr>
          <w:i/>
          <w:iCs/>
        </w:rPr>
        <w:t>Der Bund hat die Fördermittel zuletzt erhöht, allerdings wird der reicht es weiterhin vorn und hinten nicht.</w:t>
      </w:r>
    </w:p>
    <w:p w14:paraId="0BB11C1E" w14:textId="7043518E" w:rsidR="005131B1" w:rsidRDefault="004123C0" w:rsidP="00F023A7">
      <w:r>
        <w:t xml:space="preserve">Bis 2021 kamen in Berlin viele Gemeinwohl-Ankäufe über das </w:t>
      </w:r>
      <w:r w:rsidRPr="007F152E">
        <w:rPr>
          <w:b/>
          <w:bCs/>
        </w:rPr>
        <w:t>kommunale Vorkaufsrecht in Milieuschutzgebieten</w:t>
      </w:r>
      <w:r>
        <w:t xml:space="preserve"> zu Stande</w:t>
      </w:r>
      <w:r w:rsidR="003E4535">
        <w:t xml:space="preserve"> (§ 24 BauGB)</w:t>
      </w:r>
      <w:r>
        <w:t xml:space="preserve">. </w:t>
      </w:r>
      <w:r w:rsidR="007F152E">
        <w:t xml:space="preserve">Seit einem ungünstigen Urteil 2021 ist dieses spezielle Vorkaufsrecht </w:t>
      </w:r>
      <w:proofErr w:type="gramStart"/>
      <w:r w:rsidR="0027107A">
        <w:t>extrem eingeschränkt</w:t>
      </w:r>
      <w:proofErr w:type="gramEnd"/>
      <w:r w:rsidR="0027107A">
        <w:t xml:space="preserve"> und </w:t>
      </w:r>
      <w:r w:rsidR="007F152E">
        <w:t xml:space="preserve">kaum anwendbar. </w:t>
      </w:r>
    </w:p>
    <w:p w14:paraId="6A88C06A" w14:textId="1CDA2AE0" w:rsidR="005131B1" w:rsidRDefault="007F152E" w:rsidP="005131B1">
      <w:r>
        <w:t>Im Baugesetzbuch wäre nur eine kleine Änderung nötig, gegen die sich aber die F</w:t>
      </w:r>
      <w:r w:rsidR="00883647">
        <w:t>DP</w:t>
      </w:r>
      <w:r>
        <w:t xml:space="preserve"> in der Ampel verweigert hat.</w:t>
      </w:r>
      <w:r w:rsidR="005131B1">
        <w:t xml:space="preserve"> Noch </w:t>
      </w:r>
      <w:proofErr w:type="gramStart"/>
      <w:r w:rsidR="005131B1">
        <w:t>im 2026</w:t>
      </w:r>
      <w:proofErr w:type="gramEnd"/>
      <w:r w:rsidR="005131B1">
        <w:t xml:space="preserve"> soll das Baugesetzbuch umfassend geändert werden. Leider steht das Thema </w:t>
      </w:r>
      <w:r w:rsidR="0027107A">
        <w:t xml:space="preserve">„Vorkaufsrecht“ </w:t>
      </w:r>
      <w:r w:rsidR="005131B1">
        <w:t>nur sehr vage im Koalitionsvertrag.</w:t>
      </w:r>
    </w:p>
    <w:p w14:paraId="18373E77" w14:textId="68CA507D" w:rsidR="005131B1" w:rsidRDefault="005131B1" w:rsidP="005131B1">
      <w:r w:rsidRPr="005131B1">
        <w:rPr>
          <w:i/>
          <w:iCs/>
        </w:rPr>
        <w:lastRenderedPageBreak/>
        <w:t>Anzustreben ist</w:t>
      </w:r>
      <w:r>
        <w:rPr>
          <w:i/>
          <w:iCs/>
        </w:rPr>
        <w:t xml:space="preserve"> nicht nur die Wiederherstellung des Vorkaufsrechts, sondern seine Verbesserung z.B. bei Sharedeals und umgewandelten Häusern. </w:t>
      </w:r>
      <w:proofErr w:type="gramStart"/>
      <w:r>
        <w:t>Das fordern</w:t>
      </w:r>
      <w:proofErr w:type="gramEnd"/>
      <w:r>
        <w:t xml:space="preserve"> auch viele Kommunen, es gibt also einen gewissen Spielraum.</w:t>
      </w:r>
    </w:p>
    <w:p w14:paraId="7EF45C1A" w14:textId="29FE36D9" w:rsidR="005131B1" w:rsidRDefault="005131B1" w:rsidP="005131B1">
      <w:r>
        <w:t>3.</w:t>
      </w:r>
    </w:p>
    <w:p w14:paraId="26B0284C" w14:textId="6FA73E38" w:rsidR="005131B1" w:rsidRDefault="005131B1" w:rsidP="005131B1">
      <w:r w:rsidRPr="005131B1">
        <w:rPr>
          <w:b/>
          <w:bCs/>
        </w:rPr>
        <w:t>Eigenbedarfskündigungen</w:t>
      </w:r>
      <w:r>
        <w:t xml:space="preserve"> sind im Bürgerlichen Gesetzbuch</w:t>
      </w:r>
      <w:r w:rsidR="0027107A">
        <w:t xml:space="preserve"> (BGB)</w:t>
      </w:r>
      <w:r>
        <w:t xml:space="preserve"> geregelt, weil sie sich auf den Mietvertrag beziehen. In der aktuell vorgestellten (noch nicht verabschiedeten) Mietrechtsnovelle sind sie nicht erwähnt</w:t>
      </w:r>
      <w:r w:rsidR="00506662">
        <w:t xml:space="preserve">. Da wird es </w:t>
      </w:r>
      <w:r w:rsidR="0027107A">
        <w:t>politischen</w:t>
      </w:r>
      <w:r w:rsidR="00506662">
        <w:t xml:space="preserve"> Druck brauchen.</w:t>
      </w:r>
      <w:r w:rsidR="00FC17F6">
        <w:t xml:space="preserve"> </w:t>
      </w:r>
    </w:p>
    <w:p w14:paraId="1E0CF52B" w14:textId="36DD54A4" w:rsidR="005131B1" w:rsidRDefault="005131B1" w:rsidP="005131B1">
      <w:r>
        <w:t xml:space="preserve">Es gibt </w:t>
      </w:r>
      <w:r w:rsidR="00FC17F6">
        <w:t xml:space="preserve">von Linken, Grünen, Mietervereinen und </w:t>
      </w:r>
      <w:r w:rsidR="00473499">
        <w:t>gelegentlich</w:t>
      </w:r>
      <w:r w:rsidR="00FC17F6">
        <w:t xml:space="preserve"> auch von der SPD eine ganze Menge Vorschläge, die Eigenbedarf einschränken oder abschaffen</w:t>
      </w:r>
      <w:r w:rsidR="00FC17F6" w:rsidRPr="00FC17F6">
        <w:rPr>
          <w:i/>
          <w:iCs/>
        </w:rPr>
        <w:t>. Dabei geht es z.B. um den Kreis der Berechtigten, um Schutzfristen oder Härtefallregeln</w:t>
      </w:r>
      <w:r w:rsidR="00FC17F6">
        <w:t xml:space="preserve">. </w:t>
      </w:r>
    </w:p>
    <w:p w14:paraId="2C91B4B7" w14:textId="6FC4A172" w:rsidR="005131B1" w:rsidRDefault="00506662" w:rsidP="00506662">
      <w:r>
        <w:t xml:space="preserve">Zumindest in Bezug auf vorgetäuschten Eigenbedarf und auf Härtefälle gab es in den letzten Jahren </w:t>
      </w:r>
      <w:r w:rsidRPr="00271A79">
        <w:rPr>
          <w:b/>
          <w:bCs/>
        </w:rPr>
        <w:t>positive Gerichtsurteile</w:t>
      </w:r>
      <w:r>
        <w:t xml:space="preserve">. Deren Bedeutung ist groß, weil neben den Gerichten auch Politiker*innen auf die bisherige Rechtsprechung schauen. </w:t>
      </w:r>
    </w:p>
    <w:p w14:paraId="7519A40B" w14:textId="1F3EA6F6" w:rsidR="00506662" w:rsidRDefault="00506662" w:rsidP="00506662">
      <w:r>
        <w:t xml:space="preserve">4. </w:t>
      </w:r>
    </w:p>
    <w:p w14:paraId="1522E956" w14:textId="339B3308" w:rsidR="005131B1" w:rsidRDefault="00506662" w:rsidP="005131B1">
      <w:r w:rsidRPr="00506662">
        <w:rPr>
          <w:b/>
          <w:bCs/>
        </w:rPr>
        <w:t>Transparenz am Wohnungsmarkt</w:t>
      </w:r>
      <w:r>
        <w:t xml:space="preserve"> ist ein unterschätztes Thema. Illegales Verhalen von Eigentümer</w:t>
      </w:r>
      <w:r w:rsidR="00D26C93">
        <w:t>*innen</w:t>
      </w:r>
      <w:r>
        <w:t xml:space="preserve"> fällt gar nicht erst auf oder kann nicht richtig verfolgt werden, weil z.B. unklar ist, wem eine Immobilie überhaupt gehört</w:t>
      </w:r>
      <w:r w:rsidR="00D26C93">
        <w:t xml:space="preserve"> oder</w:t>
      </w:r>
      <w:r>
        <w:t xml:space="preserve"> ob sie aufgeteilt ist.</w:t>
      </w:r>
    </w:p>
    <w:p w14:paraId="0D8640F4" w14:textId="677A50AF" w:rsidR="00506662" w:rsidRDefault="00506662" w:rsidP="005131B1">
      <w:r>
        <w:t xml:space="preserve">Die nötigen Informationen liegen oft sogar vor, z.B. im Grundbuch oder im Mietvertrag und bestimmte Personen dürfen unter bestimmten Umständen nachsehen. </w:t>
      </w:r>
      <w:r w:rsidRPr="00506662">
        <w:rPr>
          <w:i/>
          <w:iCs/>
        </w:rPr>
        <w:t>Eine effektive Kontrolle wäre aber nur mit einem Mieten- und Wohnungskataster möglich.</w:t>
      </w:r>
    </w:p>
    <w:p w14:paraId="5E00802D" w14:textId="78A347CF" w:rsidR="00506662" w:rsidRDefault="00506662" w:rsidP="005131B1">
      <w:r>
        <w:t xml:space="preserve">Die CDU lehnt so etwas strikt ab. Allerdings gibt es u.a. durch Vorgaben der EU immer neue Registerpflichten – z.B. gegen Geldwäsche, zur besseren Kontrolle von </w:t>
      </w:r>
      <w:proofErr w:type="spellStart"/>
      <w:r>
        <w:t>AirBnB</w:t>
      </w:r>
      <w:proofErr w:type="spellEnd"/>
      <w:r>
        <w:t xml:space="preserve"> oder für die Zensuserhebungen</w:t>
      </w:r>
      <w:r w:rsidR="007D0CD4">
        <w:t>, die Register / Kataster auf der Tagesordnung halten.</w:t>
      </w:r>
    </w:p>
    <w:p w14:paraId="4B802243" w14:textId="0B9E593C" w:rsidR="00506662" w:rsidRDefault="00506662" w:rsidP="005131B1">
      <w:r>
        <w:t>Auch</w:t>
      </w:r>
      <w:r w:rsidR="00CB5E0E">
        <w:t xml:space="preserve"> Kommunen und Länder, die sich z.B. mit Schrottimmobilien herumschlagen, fordern zunehmend Kataster. Ungeklärt ist bisher, ob sie auf den Bund warten müssen</w:t>
      </w:r>
      <w:r w:rsidR="007D0CD4">
        <w:t xml:space="preserve"> (zumindest für Rahmenregelungen)</w:t>
      </w:r>
      <w:r w:rsidR="00CB5E0E">
        <w:t xml:space="preserve"> oder selbst aktiv werden können.</w:t>
      </w:r>
    </w:p>
    <w:p w14:paraId="11A2A7DF" w14:textId="146C053E" w:rsidR="00506662" w:rsidRDefault="008112F1" w:rsidP="008112F1">
      <w:pPr>
        <w:jc w:val="center"/>
      </w:pPr>
      <w:r>
        <w:t>II.</w:t>
      </w:r>
    </w:p>
    <w:p w14:paraId="3E90C497" w14:textId="77777777" w:rsidR="008112F1" w:rsidRDefault="008112F1" w:rsidP="005131B1">
      <w:r>
        <w:t xml:space="preserve">Jetzt stellt sich die große Frage: Wie kommt man mit diesen Forderungen voran? </w:t>
      </w:r>
    </w:p>
    <w:p w14:paraId="5DE0E937" w14:textId="4C6BE9FB" w:rsidR="00506662" w:rsidRDefault="008112F1" w:rsidP="005131B1">
      <w:r>
        <w:t xml:space="preserve">Die </w:t>
      </w:r>
      <w:r w:rsidRPr="00271A79">
        <w:rPr>
          <w:b/>
          <w:bCs/>
        </w:rPr>
        <w:t xml:space="preserve">CDU </w:t>
      </w:r>
      <w:r w:rsidR="007D0CD4">
        <w:t>zeigt keinen Einsatz</w:t>
      </w:r>
      <w:r>
        <w:t xml:space="preserve"> </w:t>
      </w:r>
      <w:r w:rsidR="007D0CD4">
        <w:t>für</w:t>
      </w:r>
      <w:r>
        <w:t xml:space="preserve"> Verbesserungen für Mietende. Sie setzt vor allem auf Deregulierung im Planungsrecht und in der Bauordnung und dass daraus auf magische Weise sehr viel bezahlbarer Wohnraum entsteht. </w:t>
      </w:r>
    </w:p>
    <w:p w14:paraId="4ED45569" w14:textId="037E4CA6" w:rsidR="00271A79" w:rsidRDefault="008112F1" w:rsidP="005131B1">
      <w:r>
        <w:t xml:space="preserve">Die </w:t>
      </w:r>
      <w:r w:rsidRPr="00271A79">
        <w:rPr>
          <w:b/>
          <w:bCs/>
        </w:rPr>
        <w:t>SPD</w:t>
      </w:r>
      <w:r>
        <w:t xml:space="preserve"> ist für die meisten dieser Forderungen zumindest offen und </w:t>
      </w:r>
      <w:r w:rsidR="00271A79">
        <w:t>hat immerhin das Justizministerium für das Mietrecht und das Bauministerium für das Baurecht. Allerdings ist sie der Juniorpartner zeigt sich gerade nicht besonders standhaft.</w:t>
      </w:r>
    </w:p>
    <w:p w14:paraId="391A3DA9" w14:textId="3D19D70C" w:rsidR="00271A79" w:rsidRDefault="00271A79" w:rsidP="005131B1">
      <w:r w:rsidRPr="00271A79">
        <w:rPr>
          <w:b/>
          <w:bCs/>
        </w:rPr>
        <w:lastRenderedPageBreak/>
        <w:t>Linke und Grüne</w:t>
      </w:r>
      <w:r>
        <w:t xml:space="preserve"> haben ziemlich starke Positionen und machen die auch sichtbar. Am Ende sind sie aber die Opposition und schaffen keine Mehrheit, nicht mal mit der SPD.</w:t>
      </w:r>
    </w:p>
    <w:p w14:paraId="11015F5C" w14:textId="6078DDA4" w:rsidR="00271A79" w:rsidRDefault="00271A79" w:rsidP="005131B1">
      <w:r>
        <w:t xml:space="preserve">Die große Aufgabe ist also, einen Druck zu erzeugen, der auch für die Regierungsparteien spürbar wird. </w:t>
      </w:r>
      <w:r w:rsidR="003A5FBB">
        <w:t>Das geht über klassische Demos und Kampagnen, aber auch über:</w:t>
      </w:r>
    </w:p>
    <w:p w14:paraId="2B5189BE" w14:textId="6AB691C9" w:rsidR="00271A79" w:rsidRDefault="00271A79" w:rsidP="00271A79">
      <w:pPr>
        <w:pStyle w:val="Listenabsatz"/>
        <w:numPr>
          <w:ilvl w:val="0"/>
          <w:numId w:val="4"/>
        </w:numPr>
      </w:pPr>
      <w:r>
        <w:t xml:space="preserve">Bündnispartner suchen, die gehört werden, z.B. Städtetag, der sich für Vorkaufsrechte </w:t>
      </w:r>
      <w:r w:rsidR="0073397F">
        <w:t>stark macht</w:t>
      </w:r>
      <w:r w:rsidR="003A5FBB">
        <w:t xml:space="preserve"> oder Landesregierung, die im Bundesrat Druck macht.</w:t>
      </w:r>
    </w:p>
    <w:p w14:paraId="76408B1B" w14:textId="32DB42A0" w:rsidR="00271A79" w:rsidRDefault="0073397F" w:rsidP="00271A79">
      <w:pPr>
        <w:pStyle w:val="Listenabsatz"/>
        <w:numPr>
          <w:ilvl w:val="0"/>
          <w:numId w:val="4"/>
        </w:numPr>
      </w:pPr>
      <w:r>
        <w:t>Urteile erstreiten, die nicht nur auf weitere Gerichtsprozesse ausstrahlen, sondern auch politisch berücksichtigt werden.</w:t>
      </w:r>
    </w:p>
    <w:p w14:paraId="7BF040F3" w14:textId="6EE1D902" w:rsidR="0073397F" w:rsidRDefault="0073397F" w:rsidP="00271A79">
      <w:pPr>
        <w:pStyle w:val="Listenabsatz"/>
        <w:numPr>
          <w:ilvl w:val="0"/>
          <w:numId w:val="4"/>
        </w:numPr>
      </w:pPr>
      <w:r>
        <w:t>Ausschüsse und Abgeordnete direkt anschreiben, der Lobbyismus der kleinen Leute. Der Effekt ist größer, als man das manchmal denkt.</w:t>
      </w:r>
    </w:p>
    <w:p w14:paraId="17311E3E" w14:textId="68B9CDC3" w:rsidR="0073397F" w:rsidRDefault="0073397F" w:rsidP="00271A79">
      <w:pPr>
        <w:pStyle w:val="Listenabsatz"/>
        <w:numPr>
          <w:ilvl w:val="0"/>
          <w:numId w:val="4"/>
        </w:numPr>
      </w:pPr>
      <w:r>
        <w:t>Konkrete Lösungen für den eigenen Fall finden – und dann nicht abwenden, sondern aus besserer Position dranbleiben.</w:t>
      </w:r>
    </w:p>
    <w:p w14:paraId="1310D959" w14:textId="416D9C49" w:rsidR="0073397F" w:rsidRDefault="0073397F" w:rsidP="00271A79">
      <w:pPr>
        <w:pStyle w:val="Listenabsatz"/>
        <w:numPr>
          <w:ilvl w:val="0"/>
          <w:numId w:val="4"/>
        </w:numPr>
      </w:pPr>
      <w:r>
        <w:t>Lösungen auf Bezirks- und Landesebene finden</w:t>
      </w:r>
      <w:r w:rsidR="003A5FBB">
        <w:t xml:space="preserve">, wo der Bund den Raum dafür lässt. Das erhöht den Druck auf den Bund. </w:t>
      </w:r>
    </w:p>
    <w:p w14:paraId="3704D06B" w14:textId="435191AD" w:rsidR="00271A79" w:rsidRDefault="00883647" w:rsidP="005131B1">
      <w:r>
        <w:t xml:space="preserve">Zum Abschluss: Die Bundespolitik zu </w:t>
      </w:r>
      <w:r w:rsidR="007D0CD4">
        <w:t>adressieren</w:t>
      </w:r>
      <w:r>
        <w:t xml:space="preserve"> ist langwierig und zäh, aber man kann es schaffen. Das Thema Umwandlung und Eigenbedarf hat den Vorteil, dass nicht alle Hebel allein beim Bund liegen. Man kommt an ihm nicht vorbei, aber man kann durchaus konkrete Erfolge vor Gericht, im Bezirk oder im Land verbuchen. </w:t>
      </w:r>
    </w:p>
    <w:p w14:paraId="458426D1" w14:textId="77777777" w:rsidR="008850F1" w:rsidRDefault="008850F1" w:rsidP="008850F1">
      <w:r>
        <w:t xml:space="preserve">Über die konkreten Verflechtungen von Bund, Land und Kommune kann ich heute nicht mehr sprechen. Es lohnt aber, sich damit für das konkrete Problem sehr genau zu beschäftigen. Dann weiß man, wo welche Werkzeuge nötig sind und vermeidet, ständig „weitergeschickt“ zu werden, was </w:t>
      </w:r>
      <w:proofErr w:type="gramStart"/>
      <w:r>
        <w:t>extrem frustrierend</w:t>
      </w:r>
      <w:proofErr w:type="gramEnd"/>
      <w:r>
        <w:t xml:space="preserve"> sein kann. </w:t>
      </w:r>
    </w:p>
    <w:sectPr w:rsidR="00885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A7B1A"/>
    <w:multiLevelType w:val="hybridMultilevel"/>
    <w:tmpl w:val="F4028D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1A6D83"/>
    <w:multiLevelType w:val="hybridMultilevel"/>
    <w:tmpl w:val="2E5621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EA92A7E"/>
    <w:multiLevelType w:val="hybridMultilevel"/>
    <w:tmpl w:val="AA226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F53657"/>
    <w:multiLevelType w:val="hybridMultilevel"/>
    <w:tmpl w:val="4CA4C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8007190">
    <w:abstractNumId w:val="3"/>
  </w:num>
  <w:num w:numId="2" w16cid:durableId="1780102610">
    <w:abstractNumId w:val="2"/>
  </w:num>
  <w:num w:numId="3" w16cid:durableId="445776262">
    <w:abstractNumId w:val="1"/>
  </w:num>
  <w:num w:numId="4" w16cid:durableId="174826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1B"/>
    <w:rsid w:val="000873D4"/>
    <w:rsid w:val="000E67EA"/>
    <w:rsid w:val="000F150C"/>
    <w:rsid w:val="000F23E4"/>
    <w:rsid w:val="000F55CC"/>
    <w:rsid w:val="00125CCB"/>
    <w:rsid w:val="002665E0"/>
    <w:rsid w:val="0027107A"/>
    <w:rsid w:val="00271A79"/>
    <w:rsid w:val="002F0006"/>
    <w:rsid w:val="003631D1"/>
    <w:rsid w:val="003A5FBB"/>
    <w:rsid w:val="003A7D9A"/>
    <w:rsid w:val="003E4535"/>
    <w:rsid w:val="004123C0"/>
    <w:rsid w:val="00473499"/>
    <w:rsid w:val="00506662"/>
    <w:rsid w:val="005131B1"/>
    <w:rsid w:val="005452F4"/>
    <w:rsid w:val="005D5F39"/>
    <w:rsid w:val="0069161B"/>
    <w:rsid w:val="0073397F"/>
    <w:rsid w:val="007D0CD4"/>
    <w:rsid w:val="007E3E14"/>
    <w:rsid w:val="007F152E"/>
    <w:rsid w:val="008034A7"/>
    <w:rsid w:val="008112F1"/>
    <w:rsid w:val="00883647"/>
    <w:rsid w:val="008850F1"/>
    <w:rsid w:val="009B394B"/>
    <w:rsid w:val="00A6703C"/>
    <w:rsid w:val="00A92C51"/>
    <w:rsid w:val="00AF4076"/>
    <w:rsid w:val="00B25F6C"/>
    <w:rsid w:val="00C122B5"/>
    <w:rsid w:val="00C16D9A"/>
    <w:rsid w:val="00CB5E0E"/>
    <w:rsid w:val="00D26C93"/>
    <w:rsid w:val="00D652B2"/>
    <w:rsid w:val="00E0330F"/>
    <w:rsid w:val="00E51AA2"/>
    <w:rsid w:val="00F023A7"/>
    <w:rsid w:val="00F253EE"/>
    <w:rsid w:val="00F95C19"/>
    <w:rsid w:val="00FC17F6"/>
    <w:rsid w:val="00FE3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576C"/>
  <w15:chartTrackingRefBased/>
  <w15:docId w15:val="{9814CFB2-36F4-423C-851B-B0FE2D84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1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1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16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16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16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16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16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16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16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16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16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16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16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16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16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16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16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161B"/>
    <w:rPr>
      <w:rFonts w:eastAsiaTheme="majorEastAsia" w:cstheme="majorBidi"/>
      <w:color w:val="272727" w:themeColor="text1" w:themeTint="D8"/>
    </w:rPr>
  </w:style>
  <w:style w:type="paragraph" w:styleId="Titel">
    <w:name w:val="Title"/>
    <w:basedOn w:val="Standard"/>
    <w:next w:val="Standard"/>
    <w:link w:val="TitelZchn"/>
    <w:uiPriority w:val="10"/>
    <w:qFormat/>
    <w:rsid w:val="00691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16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16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16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16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161B"/>
    <w:rPr>
      <w:i/>
      <w:iCs/>
      <w:color w:val="404040" w:themeColor="text1" w:themeTint="BF"/>
    </w:rPr>
  </w:style>
  <w:style w:type="paragraph" w:styleId="Listenabsatz">
    <w:name w:val="List Paragraph"/>
    <w:basedOn w:val="Standard"/>
    <w:uiPriority w:val="34"/>
    <w:qFormat/>
    <w:rsid w:val="0069161B"/>
    <w:pPr>
      <w:ind w:left="720"/>
      <w:contextualSpacing/>
    </w:pPr>
  </w:style>
  <w:style w:type="character" w:styleId="IntensiveHervorhebung">
    <w:name w:val="Intense Emphasis"/>
    <w:basedOn w:val="Absatz-Standardschriftart"/>
    <w:uiPriority w:val="21"/>
    <w:qFormat/>
    <w:rsid w:val="0069161B"/>
    <w:rPr>
      <w:i/>
      <w:iCs/>
      <w:color w:val="0F4761" w:themeColor="accent1" w:themeShade="BF"/>
    </w:rPr>
  </w:style>
  <w:style w:type="paragraph" w:styleId="IntensivesZitat">
    <w:name w:val="Intense Quote"/>
    <w:basedOn w:val="Standard"/>
    <w:next w:val="Standard"/>
    <w:link w:val="IntensivesZitatZchn"/>
    <w:uiPriority w:val="30"/>
    <w:qFormat/>
    <w:rsid w:val="00691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161B"/>
    <w:rPr>
      <w:i/>
      <w:iCs/>
      <w:color w:val="0F4761" w:themeColor="accent1" w:themeShade="BF"/>
    </w:rPr>
  </w:style>
  <w:style w:type="character" w:styleId="IntensiverVerweis">
    <w:name w:val="Intense Reference"/>
    <w:basedOn w:val="Absatz-Standardschriftart"/>
    <w:uiPriority w:val="32"/>
    <w:qFormat/>
    <w:rsid w:val="00691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5815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M</dc:creator>
  <cp:keywords/>
  <dc:description/>
  <cp:lastModifiedBy>Kaspar M</cp:lastModifiedBy>
  <cp:revision>18</cp:revision>
  <dcterms:created xsi:type="dcterms:W3CDTF">2026-03-17T20:08:00Z</dcterms:created>
  <dcterms:modified xsi:type="dcterms:W3CDTF">2026-03-17T20:31:00Z</dcterms:modified>
</cp:coreProperties>
</file>